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00"/>
        <w:gridCol w:w="3360"/>
      </w:tblGrid>
      <w:tr w:rsidR="00964DBB" w14:paraId="4692642A" w14:textId="77777777">
        <w:tblPrEx>
          <w:tblCellMar>
            <w:top w:w="0" w:type="dxa"/>
            <w:bottom w:w="0" w:type="dxa"/>
          </w:tblCellMar>
        </w:tblPrEx>
        <w:tc>
          <w:tcPr>
            <w:tcW w:w="6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5660DBE8" w14:textId="77777777" w:rsidR="00964DBB" w:rsidRDefault="00AC7030">
            <w:r>
              <w:rPr>
                <w:noProof/>
              </w:rPr>
              <w:drawing>
                <wp:inline distT="0" distB="0" distL="0" distR="0" wp14:anchorId="072CE72C" wp14:editId="60AD3DBA">
                  <wp:extent cx="1428750"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600075"/>
                          </a:xfrm>
                          <a:prstGeom prst="rect">
                            <a:avLst/>
                          </a:prstGeom>
                        </pic:spPr>
                      </pic:pic>
                    </a:graphicData>
                  </a:graphic>
                </wp:inline>
              </w:drawing>
            </w:r>
          </w:p>
        </w:tc>
        <w:tc>
          <w:tcPr>
            <w:tcW w:w="3360" w:type="dxa"/>
            <w:tcBorders>
              <w:top w:val="none" w:sz="0" w:space="0" w:color="FFFFFF"/>
              <w:left w:val="none" w:sz="0" w:space="0" w:color="FFFFFF"/>
              <w:bottom w:val="none" w:sz="0" w:space="0" w:color="FFFFFF"/>
              <w:right w:val="none" w:sz="0" w:space="0" w:color="FFFFFF"/>
            </w:tcBorders>
            <w:vAlign w:val="center"/>
          </w:tcPr>
          <w:p w14:paraId="5CE133F0" w14:textId="77777777" w:rsidR="00964DBB" w:rsidRDefault="00AC7030">
            <w:pPr>
              <w:jc w:val="right"/>
            </w:pPr>
            <w:r>
              <w:rPr>
                <w:rFonts w:ascii="Arial" w:eastAsia="Arial" w:hAnsi="Arial" w:cs="Arial"/>
                <w:b/>
                <w:bCs/>
                <w:color w:val="0B2E4E"/>
                <w:spacing w:val="20"/>
                <w:sz w:val="16"/>
                <w:szCs w:val="16"/>
              </w:rPr>
              <w:t>FREE RESOURCE</w:t>
            </w:r>
          </w:p>
        </w:tc>
      </w:tr>
    </w:tbl>
    <w:p w14:paraId="79198143" w14:textId="77777777" w:rsidR="00964DBB" w:rsidRDefault="00964DBB">
      <w:pPr>
        <w:pBdr>
          <w:bottom w:val="single" w:sz="18" w:space="4" w:color="3C96B4"/>
        </w:pBdr>
        <w:spacing w:before="60" w:after="180"/>
      </w:pPr>
    </w:p>
    <w:p w14:paraId="6280D7A8" w14:textId="77777777" w:rsidR="00964DBB" w:rsidRDefault="00AC7030">
      <w:pPr>
        <w:spacing w:after="36"/>
      </w:pPr>
      <w:r>
        <w:rPr>
          <w:rFonts w:ascii="Georgia" w:eastAsia="Georgia" w:hAnsi="Georgia" w:cs="Georgia"/>
          <w:b/>
          <w:bCs/>
          <w:color w:val="0B2E4E"/>
          <w:sz w:val="44"/>
          <w:szCs w:val="44"/>
        </w:rPr>
        <w:t>The Practice Preparation Checklist</w:t>
      </w:r>
    </w:p>
    <w:p w14:paraId="03DE2CAA" w14:textId="77777777" w:rsidR="00964DBB" w:rsidRDefault="00AC7030">
      <w:pPr>
        <w:spacing w:after="90"/>
      </w:pPr>
      <w:r>
        <w:rPr>
          <w:rFonts w:ascii="Arial" w:eastAsia="Arial" w:hAnsi="Arial" w:cs="Arial"/>
          <w:b/>
          <w:bCs/>
          <w:color w:val="3C96B4"/>
          <w:sz w:val="22"/>
          <w:szCs w:val="22"/>
        </w:rPr>
        <w:t>Everything it takes to open an independent practice, in one list.</w:t>
      </w:r>
    </w:p>
    <w:p w14:paraId="7D64270F" w14:textId="77777777" w:rsidR="00964DBB" w:rsidRDefault="00AC7030">
      <w:pPr>
        <w:spacing w:after="220"/>
      </w:pPr>
      <w:r>
        <w:rPr>
          <w:rFonts w:ascii="Arial" w:eastAsia="Arial" w:hAnsi="Arial" w:cs="Arial"/>
          <w:color w:val="2A2F36"/>
          <w:sz w:val="19"/>
          <w:szCs w:val="19"/>
        </w:rPr>
        <w:t>From legal setup and budgeting to EHR selection, payer enrollment, and credentialing, use this to check your progress and find the gaps before they cost you time or money. Practice Launch 90 organizes the work into three phases, shown here.</w:t>
      </w:r>
    </w:p>
    <w:p w14:paraId="063B5839" w14:textId="77777777" w:rsidR="00964DBB" w:rsidRDefault="00AC7030">
      <w:pPr>
        <w:keepNext/>
        <w:spacing w:before="200" w:after="12"/>
      </w:pPr>
      <w:r>
        <w:rPr>
          <w:rFonts w:ascii="Georgia" w:eastAsia="Georgia" w:hAnsi="Georgia" w:cs="Georgia"/>
          <w:b/>
          <w:bCs/>
          <w:color w:val="3C96B4"/>
          <w:sz w:val="26"/>
          <w:szCs w:val="26"/>
        </w:rPr>
        <w:t xml:space="preserve">Phase 1: </w:t>
      </w:r>
      <w:r>
        <w:rPr>
          <w:rFonts w:ascii="Georgia" w:eastAsia="Georgia" w:hAnsi="Georgia" w:cs="Georgia"/>
          <w:b/>
          <w:bCs/>
          <w:color w:val="0B2E4E"/>
          <w:sz w:val="26"/>
          <w:szCs w:val="26"/>
        </w:rPr>
        <w:t>Foundation and Regulatory Readiness</w:t>
      </w:r>
    </w:p>
    <w:p w14:paraId="2DB43A3B" w14:textId="77777777" w:rsidR="00964DBB" w:rsidRDefault="00AC7030">
      <w:pPr>
        <w:keepNext/>
        <w:pBdr>
          <w:bottom w:val="single" w:sz="8" w:space="6" w:color="3C96B4"/>
        </w:pBdr>
        <w:spacing w:after="120"/>
      </w:pPr>
      <w:r>
        <w:rPr>
          <w:rFonts w:ascii="Arial" w:eastAsia="Arial" w:hAnsi="Arial" w:cs="Arial"/>
          <w:b/>
          <w:bCs/>
          <w:color w:val="3C96B4"/>
          <w:sz w:val="17"/>
          <w:szCs w:val="17"/>
        </w:rPr>
        <w:t xml:space="preserve">Days 1 to 30   </w:t>
      </w:r>
      <w:r>
        <w:rPr>
          <w:rFonts w:ascii="Arial" w:eastAsia="Arial" w:hAnsi="Arial" w:cs="Arial"/>
          <w:color w:val="5B6670"/>
          <w:sz w:val="17"/>
          <w:szCs w:val="17"/>
        </w:rPr>
        <w:t>Lay the legal, compliance, and financial foundation to operate independently.</w:t>
      </w:r>
    </w:p>
    <w:p w14:paraId="762AB3C2" w14:textId="77777777" w:rsidR="00964DBB" w:rsidRDefault="00AC7030">
      <w:pPr>
        <w:keepNext/>
        <w:spacing w:before="90" w:after="40"/>
      </w:pPr>
      <w:r>
        <w:rPr>
          <w:rFonts w:ascii="Arial" w:eastAsia="Arial" w:hAnsi="Arial" w:cs="Arial"/>
          <w:b/>
          <w:bCs/>
          <w:color w:val="0B2E4E"/>
          <w:sz w:val="19"/>
          <w:szCs w:val="19"/>
        </w:rPr>
        <w:t>Vision, mission, and business plan</w:t>
      </w:r>
    </w:p>
    <w:p w14:paraId="5F3F20DF"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Confirm</w:t>
      </w:r>
      <w:proofErr w:type="gramEnd"/>
      <w:r>
        <w:rPr>
          <w:rFonts w:ascii="Arial" w:eastAsia="Arial" w:hAnsi="Arial" w:cs="Arial"/>
          <w:color w:val="2A2F36"/>
          <w:sz w:val="18"/>
          <w:szCs w:val="18"/>
        </w:rPr>
        <w:t xml:space="preserve"> your practice vision and mission</w:t>
      </w:r>
    </w:p>
    <w:p w14:paraId="13DCED8C"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Build</w:t>
      </w:r>
      <w:proofErr w:type="gramEnd"/>
      <w:r>
        <w:rPr>
          <w:rFonts w:ascii="Arial" w:eastAsia="Arial" w:hAnsi="Arial" w:cs="Arial"/>
          <w:color w:val="2A2F36"/>
          <w:sz w:val="18"/>
          <w:szCs w:val="18"/>
        </w:rPr>
        <w:t xml:space="preserve"> a business plan from a Business Model Canvas, including a multi-year roadmap that guides the next years of operation</w:t>
      </w:r>
    </w:p>
    <w:p w14:paraId="1D91C1DE" w14:textId="77777777" w:rsidR="00964DBB" w:rsidRDefault="00AC7030">
      <w:pPr>
        <w:keepNext/>
        <w:spacing w:before="90" w:after="40"/>
      </w:pPr>
      <w:r>
        <w:rPr>
          <w:rFonts w:ascii="Arial" w:eastAsia="Arial" w:hAnsi="Arial" w:cs="Arial"/>
          <w:b/>
          <w:bCs/>
          <w:color w:val="0B2E4E"/>
          <w:sz w:val="19"/>
          <w:szCs w:val="19"/>
        </w:rPr>
        <w:t>Legal and entity</w:t>
      </w:r>
    </w:p>
    <w:p w14:paraId="7BC7295A"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Form</w:t>
      </w:r>
      <w:proofErr w:type="gramEnd"/>
      <w:r>
        <w:rPr>
          <w:rFonts w:ascii="Arial" w:eastAsia="Arial" w:hAnsi="Arial" w:cs="Arial"/>
          <w:color w:val="2A2F36"/>
          <w:sz w:val="18"/>
          <w:szCs w:val="18"/>
        </w:rPr>
        <w:t xml:space="preserve"> your business entity (LLC or PLLC), get your EIN, and open business banking</w:t>
      </w:r>
    </w:p>
    <w:p w14:paraId="228A5B62"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Register</w:t>
      </w:r>
      <w:proofErr w:type="gramEnd"/>
      <w:r>
        <w:rPr>
          <w:rFonts w:ascii="Arial" w:eastAsia="Arial" w:hAnsi="Arial" w:cs="Arial"/>
          <w:color w:val="2A2F36"/>
          <w:sz w:val="18"/>
          <w:szCs w:val="18"/>
        </w:rPr>
        <w:t xml:space="preserve"> your DBA and professional entity where your state requires it</w:t>
      </w:r>
    </w:p>
    <w:p w14:paraId="30E0717B"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Confirm</w:t>
      </w:r>
      <w:proofErr w:type="gramEnd"/>
      <w:r>
        <w:rPr>
          <w:rFonts w:ascii="Arial" w:eastAsia="Arial" w:hAnsi="Arial" w:cs="Arial"/>
          <w:color w:val="2A2F36"/>
          <w:sz w:val="18"/>
          <w:szCs w:val="18"/>
        </w:rPr>
        <w:t xml:space="preserve"> your business license and any local permits (site-dependent)</w:t>
      </w:r>
    </w:p>
    <w:p w14:paraId="2D6E3BF9" w14:textId="77777777" w:rsidR="00964DBB" w:rsidRDefault="00AC7030">
      <w:pPr>
        <w:keepNext/>
        <w:spacing w:before="90" w:after="40"/>
      </w:pPr>
      <w:r>
        <w:rPr>
          <w:rFonts w:ascii="Arial" w:eastAsia="Arial" w:hAnsi="Arial" w:cs="Arial"/>
          <w:b/>
          <w:bCs/>
          <w:color w:val="0B2E4E"/>
          <w:sz w:val="19"/>
          <w:szCs w:val="19"/>
        </w:rPr>
        <w:t>Identifiers and credentialing roadmap</w:t>
      </w:r>
    </w:p>
    <w:p w14:paraId="78FF9373"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Obtain</w:t>
      </w:r>
      <w:proofErr w:type="gramEnd"/>
      <w:r>
        <w:rPr>
          <w:rFonts w:ascii="Arial" w:eastAsia="Arial" w:hAnsi="Arial" w:cs="Arial"/>
          <w:color w:val="2A2F36"/>
          <w:sz w:val="18"/>
          <w:szCs w:val="18"/>
        </w:rPr>
        <w:t xml:space="preserve"> your NPI (Type 1 for you, Type 2 for the organization)</w:t>
      </w:r>
    </w:p>
    <w:p w14:paraId="7FC8945D"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Set</w:t>
      </w:r>
      <w:proofErr w:type="gramEnd"/>
      <w:r>
        <w:rPr>
          <w:rFonts w:ascii="Arial" w:eastAsia="Arial" w:hAnsi="Arial" w:cs="Arial"/>
          <w:color w:val="2A2F36"/>
          <w:sz w:val="18"/>
          <w:szCs w:val="18"/>
        </w:rPr>
        <w:t xml:space="preserve"> up and attest your CAQH profile</w:t>
      </w:r>
    </w:p>
    <w:p w14:paraId="4CF0C213"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Map</w:t>
      </w:r>
      <w:proofErr w:type="gramEnd"/>
      <w:r>
        <w:rPr>
          <w:rFonts w:ascii="Arial" w:eastAsia="Arial" w:hAnsi="Arial" w:cs="Arial"/>
          <w:color w:val="2A2F36"/>
          <w:sz w:val="18"/>
          <w:szCs w:val="18"/>
        </w:rPr>
        <w:t xml:space="preserve"> payer enrollment for Medicare, Medicaid, and commercial plans</w:t>
      </w:r>
    </w:p>
    <w:p w14:paraId="4B522A58"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Register</w:t>
      </w:r>
      <w:proofErr w:type="gramEnd"/>
      <w:r>
        <w:rPr>
          <w:rFonts w:ascii="Arial" w:eastAsia="Arial" w:hAnsi="Arial" w:cs="Arial"/>
          <w:color w:val="2A2F36"/>
          <w:sz w:val="18"/>
          <w:szCs w:val="18"/>
        </w:rPr>
        <w:t xml:space="preserve"> for DEA and state controlled-substance authority if you prescribe</w:t>
      </w:r>
    </w:p>
    <w:p w14:paraId="2A2F4AD6"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Confirm</w:t>
      </w:r>
      <w:proofErr w:type="gramEnd"/>
      <w:r>
        <w:rPr>
          <w:rFonts w:ascii="Arial" w:eastAsia="Arial" w:hAnsi="Arial" w:cs="Arial"/>
          <w:color w:val="2A2F36"/>
          <w:sz w:val="18"/>
          <w:szCs w:val="18"/>
        </w:rPr>
        <w:t xml:space="preserve"> whether you need a CLIA waiver for in-office testing</w:t>
      </w:r>
    </w:p>
    <w:p w14:paraId="7356B78D" w14:textId="77777777" w:rsidR="00964DBB" w:rsidRDefault="00AC7030">
      <w:pPr>
        <w:keepNext/>
        <w:spacing w:before="90" w:after="40"/>
      </w:pPr>
      <w:r>
        <w:rPr>
          <w:rFonts w:ascii="Arial" w:eastAsia="Arial" w:hAnsi="Arial" w:cs="Arial"/>
          <w:b/>
          <w:bCs/>
          <w:color w:val="0B2E4E"/>
          <w:sz w:val="19"/>
          <w:szCs w:val="19"/>
        </w:rPr>
        <w:t>Compliance framework</w:t>
      </w:r>
    </w:p>
    <w:p w14:paraId="60CC84D2"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Complete</w:t>
      </w:r>
      <w:proofErr w:type="gramEnd"/>
      <w:r>
        <w:rPr>
          <w:rFonts w:ascii="Arial" w:eastAsia="Arial" w:hAnsi="Arial" w:cs="Arial"/>
          <w:color w:val="2A2F36"/>
          <w:sz w:val="18"/>
          <w:szCs w:val="18"/>
        </w:rPr>
        <w:t xml:space="preserve"> a HIPAA Security Risk Analysis and address OSHA requirements</w:t>
      </w:r>
    </w:p>
    <w:p w14:paraId="21105C02"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Put</w:t>
      </w:r>
      <w:proofErr w:type="gramEnd"/>
      <w:r>
        <w:rPr>
          <w:rFonts w:ascii="Arial" w:eastAsia="Arial" w:hAnsi="Arial" w:cs="Arial"/>
          <w:color w:val="2A2F36"/>
          <w:sz w:val="18"/>
          <w:szCs w:val="18"/>
        </w:rPr>
        <w:t xml:space="preserve"> your business associate agreements (BAAs) in place</w:t>
      </w:r>
    </w:p>
    <w:p w14:paraId="0BA68BE7"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Set</w:t>
      </w:r>
      <w:proofErr w:type="gramEnd"/>
      <w:r>
        <w:rPr>
          <w:rFonts w:ascii="Arial" w:eastAsia="Arial" w:hAnsi="Arial" w:cs="Arial"/>
          <w:color w:val="2A2F36"/>
          <w:sz w:val="18"/>
          <w:szCs w:val="18"/>
        </w:rPr>
        <w:t xml:space="preserve"> up your Good Faith Estimate and No Surprises Act process</w:t>
      </w:r>
    </w:p>
    <w:p w14:paraId="0F51C1DC"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Build</w:t>
      </w:r>
      <w:proofErr w:type="gramEnd"/>
      <w:r>
        <w:rPr>
          <w:rFonts w:ascii="Arial" w:eastAsia="Arial" w:hAnsi="Arial" w:cs="Arial"/>
          <w:color w:val="2A2F36"/>
          <w:sz w:val="18"/>
          <w:szCs w:val="18"/>
        </w:rPr>
        <w:t xml:space="preserve"> your patient intake and consent packet</w:t>
      </w:r>
    </w:p>
    <w:p w14:paraId="4E86DD74" w14:textId="77777777" w:rsidR="00964DBB" w:rsidRDefault="00AC7030">
      <w:pPr>
        <w:keepNext/>
        <w:spacing w:before="90" w:after="40"/>
      </w:pPr>
      <w:r>
        <w:rPr>
          <w:rFonts w:ascii="Arial" w:eastAsia="Arial" w:hAnsi="Arial" w:cs="Arial"/>
          <w:b/>
          <w:bCs/>
          <w:color w:val="0B2E4E"/>
          <w:sz w:val="19"/>
          <w:szCs w:val="19"/>
        </w:rPr>
        <w:t>Risk and insurance</w:t>
      </w:r>
    </w:p>
    <w:p w14:paraId="26EA7E63"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Secure</w:t>
      </w:r>
      <w:proofErr w:type="gramEnd"/>
      <w:r>
        <w:rPr>
          <w:rFonts w:ascii="Arial" w:eastAsia="Arial" w:hAnsi="Arial" w:cs="Arial"/>
          <w:color w:val="2A2F36"/>
          <w:sz w:val="18"/>
          <w:szCs w:val="18"/>
        </w:rPr>
        <w:t xml:space="preserve"> malpractice, general liability, and cyber coverage, plus workers' compensation and business property if you have staff or a location</w:t>
      </w:r>
    </w:p>
    <w:p w14:paraId="0CFF6E3D" w14:textId="77777777" w:rsidR="00964DBB" w:rsidRDefault="00AC7030">
      <w:pPr>
        <w:keepNext/>
        <w:spacing w:before="90" w:after="40"/>
      </w:pPr>
      <w:r>
        <w:rPr>
          <w:rFonts w:ascii="Arial" w:eastAsia="Arial" w:hAnsi="Arial" w:cs="Arial"/>
          <w:b/>
          <w:bCs/>
          <w:color w:val="0B2E4E"/>
          <w:sz w:val="19"/>
          <w:szCs w:val="19"/>
        </w:rPr>
        <w:t>Financial foundation</w:t>
      </w:r>
    </w:p>
    <w:p w14:paraId="3E34DE92"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Build</w:t>
      </w:r>
      <w:proofErr w:type="gramEnd"/>
      <w:r>
        <w:rPr>
          <w:rFonts w:ascii="Arial" w:eastAsia="Arial" w:hAnsi="Arial" w:cs="Arial"/>
          <w:color w:val="2A2F36"/>
          <w:sz w:val="18"/>
          <w:szCs w:val="18"/>
        </w:rPr>
        <w:t xml:space="preserve"> a startup budget and a twelve-month pro forma</w:t>
      </w:r>
    </w:p>
    <w:p w14:paraId="0D4B5AAA"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Set</w:t>
      </w:r>
      <w:proofErr w:type="gramEnd"/>
      <w:r>
        <w:rPr>
          <w:rFonts w:ascii="Arial" w:eastAsia="Arial" w:hAnsi="Arial" w:cs="Arial"/>
          <w:color w:val="2A2F36"/>
          <w:sz w:val="18"/>
          <w:szCs w:val="18"/>
        </w:rPr>
        <w:t xml:space="preserve"> up accounting, payroll, banking, and merchant services</w:t>
      </w:r>
    </w:p>
    <w:p w14:paraId="1EE1D426" w14:textId="77777777" w:rsidR="00964DBB" w:rsidRDefault="00AC7030">
      <w:pPr>
        <w:keepNext/>
        <w:spacing w:before="90" w:after="40"/>
      </w:pPr>
      <w:r>
        <w:rPr>
          <w:rFonts w:ascii="Arial" w:eastAsia="Arial" w:hAnsi="Arial" w:cs="Arial"/>
          <w:b/>
          <w:bCs/>
          <w:color w:val="0B2E4E"/>
          <w:sz w:val="19"/>
          <w:szCs w:val="19"/>
        </w:rPr>
        <w:t>Care model and EHR strategy</w:t>
      </w:r>
    </w:p>
    <w:p w14:paraId="5894659C"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Confirm</w:t>
      </w:r>
      <w:proofErr w:type="gramEnd"/>
      <w:r>
        <w:rPr>
          <w:rFonts w:ascii="Arial" w:eastAsia="Arial" w:hAnsi="Arial" w:cs="Arial"/>
          <w:color w:val="2A2F36"/>
          <w:sz w:val="18"/>
          <w:szCs w:val="18"/>
        </w:rPr>
        <w:t xml:space="preserve"> your care model (insurance-based, hybrid, direct-care, or a mix)</w:t>
      </w:r>
    </w:p>
    <w:p w14:paraId="500AE72A" w14:textId="77777777" w:rsidR="00964DBB" w:rsidRDefault="00AC7030">
      <w:pPr>
        <w:spacing w:after="30"/>
        <w:ind w:left="340" w:hanging="230"/>
      </w:pPr>
      <w:proofErr w:type="gramStart"/>
      <w:r>
        <w:rPr>
          <w:rFonts w:ascii="Segoe UI Symbol" w:eastAsia="Segoe UI Symbol" w:hAnsi="Segoe UI Symbol" w:cs="Segoe UI Symbol"/>
          <w:color w:val="3C96B4"/>
          <w:sz w:val="23"/>
          <w:szCs w:val="23"/>
        </w:rPr>
        <w:t>☐</w:t>
      </w:r>
      <w:r>
        <w:rPr>
          <w:rFonts w:ascii="Segoe UI Symbol" w:eastAsia="Segoe UI Symbol" w:hAnsi="Segoe UI Symbol" w:cs="Segoe UI Symbol"/>
          <w:color w:val="3C96B4"/>
          <w:sz w:val="23"/>
          <w:szCs w:val="23"/>
        </w:rPr>
        <w:t xml:space="preserve">  </w:t>
      </w:r>
      <w:r>
        <w:rPr>
          <w:rFonts w:ascii="Arial" w:eastAsia="Arial" w:hAnsi="Arial" w:cs="Arial"/>
          <w:color w:val="2A2F36"/>
          <w:sz w:val="18"/>
          <w:szCs w:val="18"/>
        </w:rPr>
        <w:t>Assess</w:t>
      </w:r>
      <w:proofErr w:type="gramEnd"/>
      <w:r>
        <w:rPr>
          <w:rFonts w:ascii="Arial" w:eastAsia="Arial" w:hAnsi="Arial" w:cs="Arial"/>
          <w:color w:val="2A2F36"/>
          <w:sz w:val="18"/>
          <w:szCs w:val="18"/>
        </w:rPr>
        <w:t xml:space="preserve"> your EHR options, including cost, complexity, and any migration plan</w:t>
      </w:r>
    </w:p>
    <w:p w14:paraId="4D5319C3" w14:textId="77777777" w:rsidR="00964DBB" w:rsidRDefault="00AC7030">
      <w:pPr>
        <w:pBdr>
          <w:left w:val="single" w:sz="22" w:space="8" w:color="8CB42A"/>
        </w:pBdr>
        <w:spacing w:before="80" w:after="40"/>
        <w:ind w:left="60"/>
      </w:pPr>
      <w:r>
        <w:rPr>
          <w:rFonts w:ascii="Arial" w:eastAsia="Arial" w:hAnsi="Arial" w:cs="Arial"/>
          <w:b/>
          <w:bCs/>
          <w:color w:val="6E8A1E"/>
          <w:sz w:val="17"/>
          <w:szCs w:val="17"/>
        </w:rPr>
        <w:t>End of Phase 1: your Practice Foundation Package. One organized file with everything that makes the practice real.</w:t>
      </w:r>
    </w:p>
    <w:p w14:paraId="08103013" w14:textId="77777777" w:rsidR="00964DBB" w:rsidRDefault="00AC7030">
      <w:pPr>
        <w:keepNext/>
        <w:spacing w:before="200" w:after="12"/>
      </w:pPr>
      <w:r>
        <w:rPr>
          <w:rFonts w:ascii="Georgia" w:eastAsia="Georgia" w:hAnsi="Georgia" w:cs="Georgia"/>
          <w:b/>
          <w:bCs/>
          <w:color w:val="8CB42A"/>
          <w:sz w:val="26"/>
          <w:szCs w:val="26"/>
        </w:rPr>
        <w:lastRenderedPageBreak/>
        <w:t xml:space="preserve">Phase 2: </w:t>
      </w:r>
      <w:r>
        <w:rPr>
          <w:rFonts w:ascii="Georgia" w:eastAsia="Georgia" w:hAnsi="Georgia" w:cs="Georgia"/>
          <w:b/>
          <w:bCs/>
          <w:color w:val="0B2E4E"/>
          <w:sz w:val="26"/>
          <w:szCs w:val="26"/>
        </w:rPr>
        <w:t>Operations, Technology, and Staffing</w:t>
      </w:r>
    </w:p>
    <w:p w14:paraId="70110165" w14:textId="77777777" w:rsidR="00964DBB" w:rsidRDefault="00AC7030">
      <w:pPr>
        <w:keepNext/>
        <w:pBdr>
          <w:bottom w:val="single" w:sz="8" w:space="6" w:color="8CB42A"/>
        </w:pBdr>
        <w:spacing w:after="120"/>
      </w:pPr>
      <w:r>
        <w:rPr>
          <w:rFonts w:ascii="Arial" w:eastAsia="Arial" w:hAnsi="Arial" w:cs="Arial"/>
          <w:b/>
          <w:bCs/>
          <w:color w:val="8CB42A"/>
          <w:sz w:val="17"/>
          <w:szCs w:val="17"/>
        </w:rPr>
        <w:t xml:space="preserve">Days 31 to 60   </w:t>
      </w:r>
      <w:r>
        <w:rPr>
          <w:rFonts w:ascii="Arial" w:eastAsia="Arial" w:hAnsi="Arial" w:cs="Arial"/>
          <w:color w:val="5B6670"/>
          <w:sz w:val="17"/>
          <w:szCs w:val="17"/>
        </w:rPr>
        <w:t>Stand up the tools, systems, and people the practice needs to run from day one.</w:t>
      </w:r>
    </w:p>
    <w:p w14:paraId="576F7E3F" w14:textId="77777777" w:rsidR="00964DBB" w:rsidRDefault="00AC7030">
      <w:pPr>
        <w:keepNext/>
        <w:spacing w:before="90" w:after="40"/>
      </w:pPr>
      <w:r>
        <w:rPr>
          <w:rFonts w:ascii="Arial" w:eastAsia="Arial" w:hAnsi="Arial" w:cs="Arial"/>
          <w:b/>
          <w:bCs/>
          <w:color w:val="0B2E4E"/>
          <w:sz w:val="19"/>
          <w:szCs w:val="19"/>
        </w:rPr>
        <w:t>EHR and clinical systems</w:t>
      </w:r>
    </w:p>
    <w:p w14:paraId="6B4B08C8"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Select</w:t>
      </w:r>
      <w:proofErr w:type="gramEnd"/>
      <w:r>
        <w:rPr>
          <w:rFonts w:ascii="Arial" w:eastAsia="Arial" w:hAnsi="Arial" w:cs="Arial"/>
          <w:color w:val="2A2F36"/>
          <w:sz w:val="18"/>
          <w:szCs w:val="18"/>
        </w:rPr>
        <w:t>, configure, or migrate your EHR</w:t>
      </w:r>
    </w:p>
    <w:p w14:paraId="389CCEF4"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Build</w:t>
      </w:r>
      <w:proofErr w:type="gramEnd"/>
      <w:r>
        <w:rPr>
          <w:rFonts w:ascii="Arial" w:eastAsia="Arial" w:hAnsi="Arial" w:cs="Arial"/>
          <w:color w:val="2A2F36"/>
          <w:sz w:val="18"/>
          <w:szCs w:val="18"/>
        </w:rPr>
        <w:t xml:space="preserve"> scheduling templates and visit cadence</w:t>
      </w:r>
    </w:p>
    <w:p w14:paraId="72BC2880"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Turn</w:t>
      </w:r>
      <w:proofErr w:type="gramEnd"/>
      <w:r>
        <w:rPr>
          <w:rFonts w:ascii="Arial" w:eastAsia="Arial" w:hAnsi="Arial" w:cs="Arial"/>
          <w:color w:val="2A2F36"/>
          <w:sz w:val="18"/>
          <w:szCs w:val="18"/>
        </w:rPr>
        <w:t xml:space="preserve"> on telehealth and your patient portal</w:t>
      </w:r>
    </w:p>
    <w:p w14:paraId="376AA9BE" w14:textId="77777777" w:rsidR="00964DBB" w:rsidRDefault="00AC7030">
      <w:pPr>
        <w:keepNext/>
        <w:spacing w:before="90" w:after="40"/>
      </w:pPr>
      <w:r>
        <w:rPr>
          <w:rFonts w:ascii="Arial" w:eastAsia="Arial" w:hAnsi="Arial" w:cs="Arial"/>
          <w:b/>
          <w:bCs/>
          <w:color w:val="0B2E4E"/>
          <w:sz w:val="19"/>
          <w:szCs w:val="19"/>
        </w:rPr>
        <w:t>Technology and communications</w:t>
      </w:r>
    </w:p>
    <w:p w14:paraId="11FE9F97"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Set</w:t>
      </w:r>
      <w:proofErr w:type="gramEnd"/>
      <w:r>
        <w:rPr>
          <w:rFonts w:ascii="Arial" w:eastAsia="Arial" w:hAnsi="Arial" w:cs="Arial"/>
          <w:color w:val="2A2F36"/>
          <w:sz w:val="18"/>
          <w:szCs w:val="18"/>
        </w:rPr>
        <w:t xml:space="preserve"> up a business phone system with auto-attendant, voicemail, and after-hours routing</w:t>
      </w:r>
    </w:p>
    <w:p w14:paraId="703D14DB"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Put</w:t>
      </w:r>
      <w:proofErr w:type="gramEnd"/>
      <w:r>
        <w:rPr>
          <w:rFonts w:ascii="Arial" w:eastAsia="Arial" w:hAnsi="Arial" w:cs="Arial"/>
          <w:color w:val="2A2F36"/>
          <w:sz w:val="18"/>
          <w:szCs w:val="18"/>
        </w:rPr>
        <w:t xml:space="preserve"> HIPAA-compliant email and secure fax in place</w:t>
      </w:r>
    </w:p>
    <w:p w14:paraId="72560DD1"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Set</w:t>
      </w:r>
      <w:proofErr w:type="gramEnd"/>
      <w:r>
        <w:rPr>
          <w:rFonts w:ascii="Arial" w:eastAsia="Arial" w:hAnsi="Arial" w:cs="Arial"/>
          <w:color w:val="2A2F36"/>
          <w:sz w:val="18"/>
          <w:szCs w:val="18"/>
        </w:rPr>
        <w:t xml:space="preserve"> up your network, devices, secure storage, backup, and disaster recovery</w:t>
      </w:r>
    </w:p>
    <w:p w14:paraId="6A5CF94B"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Establish</w:t>
      </w:r>
      <w:proofErr w:type="gramEnd"/>
      <w:r>
        <w:rPr>
          <w:rFonts w:ascii="Arial" w:eastAsia="Arial" w:hAnsi="Arial" w:cs="Arial"/>
          <w:color w:val="2A2F36"/>
          <w:sz w:val="18"/>
          <w:szCs w:val="18"/>
        </w:rPr>
        <w:t xml:space="preserve"> a cybersecurity baseline (multi-factor authentication, endpoint protection)</w:t>
      </w:r>
    </w:p>
    <w:p w14:paraId="0BD4A185" w14:textId="77777777" w:rsidR="00964DBB" w:rsidRDefault="00AC7030">
      <w:pPr>
        <w:keepNext/>
        <w:spacing w:before="90" w:after="40"/>
      </w:pPr>
      <w:r>
        <w:rPr>
          <w:rFonts w:ascii="Arial" w:eastAsia="Arial" w:hAnsi="Arial" w:cs="Arial"/>
          <w:b/>
          <w:bCs/>
          <w:color w:val="0B2E4E"/>
          <w:sz w:val="19"/>
          <w:szCs w:val="19"/>
        </w:rPr>
        <w:t>Revenue cycle</w:t>
      </w:r>
    </w:p>
    <w:p w14:paraId="774514AC"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Build</w:t>
      </w:r>
      <w:proofErr w:type="gramEnd"/>
      <w:r>
        <w:rPr>
          <w:rFonts w:ascii="Arial" w:eastAsia="Arial" w:hAnsi="Arial" w:cs="Arial"/>
          <w:color w:val="2A2F36"/>
          <w:sz w:val="18"/>
          <w:szCs w:val="18"/>
        </w:rPr>
        <w:t xml:space="preserve"> billing workflows (coding, claims, collections, denial prevention)</w:t>
      </w:r>
    </w:p>
    <w:p w14:paraId="303714E1"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Finalize</w:t>
      </w:r>
      <w:proofErr w:type="gramEnd"/>
      <w:r>
        <w:rPr>
          <w:rFonts w:ascii="Arial" w:eastAsia="Arial" w:hAnsi="Arial" w:cs="Arial"/>
          <w:color w:val="2A2F36"/>
          <w:sz w:val="18"/>
          <w:szCs w:val="18"/>
        </w:rPr>
        <w:t xml:space="preserve"> your fee schedule and patient financial policies</w:t>
      </w:r>
    </w:p>
    <w:p w14:paraId="4C28C218" w14:textId="77777777" w:rsidR="00964DBB" w:rsidRDefault="00AC7030">
      <w:pPr>
        <w:keepNext/>
        <w:spacing w:before="90" w:after="40"/>
      </w:pPr>
      <w:r>
        <w:rPr>
          <w:rFonts w:ascii="Arial" w:eastAsia="Arial" w:hAnsi="Arial" w:cs="Arial"/>
          <w:b/>
          <w:bCs/>
          <w:color w:val="0B2E4E"/>
          <w:sz w:val="19"/>
          <w:szCs w:val="19"/>
        </w:rPr>
        <w:t>Staffing and people</w:t>
      </w:r>
    </w:p>
    <w:p w14:paraId="52AB0210"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Design</w:t>
      </w:r>
      <w:proofErr w:type="gramEnd"/>
      <w:r>
        <w:rPr>
          <w:rFonts w:ascii="Arial" w:eastAsia="Arial" w:hAnsi="Arial" w:cs="Arial"/>
          <w:color w:val="2A2F36"/>
          <w:sz w:val="18"/>
          <w:szCs w:val="18"/>
        </w:rPr>
        <w:t xml:space="preserve"> your staffing model, write job descriptions, and plan onboarding</w:t>
      </w:r>
    </w:p>
    <w:p w14:paraId="057AF682" w14:textId="77777777" w:rsidR="00964DBB" w:rsidRDefault="00AC7030">
      <w:pPr>
        <w:keepNext/>
        <w:spacing w:before="90" w:after="40"/>
      </w:pPr>
      <w:r>
        <w:rPr>
          <w:rFonts w:ascii="Arial" w:eastAsia="Arial" w:hAnsi="Arial" w:cs="Arial"/>
          <w:b/>
          <w:bCs/>
          <w:color w:val="0B2E4E"/>
          <w:sz w:val="19"/>
          <w:szCs w:val="19"/>
        </w:rPr>
        <w:t>Policies and procedures</w:t>
      </w:r>
    </w:p>
    <w:p w14:paraId="594F92C5" w14:textId="77777777" w:rsidR="00964DBB" w:rsidRDefault="00AC7030">
      <w:pPr>
        <w:spacing w:after="30"/>
        <w:ind w:left="340" w:hanging="230"/>
      </w:pPr>
      <w:proofErr w:type="gramStart"/>
      <w:r>
        <w:rPr>
          <w:rFonts w:ascii="Segoe UI Symbol" w:eastAsia="Segoe UI Symbol" w:hAnsi="Segoe UI Symbol" w:cs="Segoe UI Symbol"/>
          <w:color w:val="8CB42A"/>
          <w:sz w:val="23"/>
          <w:szCs w:val="23"/>
        </w:rPr>
        <w:t>☐</w:t>
      </w:r>
      <w:r>
        <w:rPr>
          <w:rFonts w:ascii="Segoe UI Symbol" w:eastAsia="Segoe UI Symbol" w:hAnsi="Segoe UI Symbol" w:cs="Segoe UI Symbol"/>
          <w:color w:val="8CB42A"/>
          <w:sz w:val="23"/>
          <w:szCs w:val="23"/>
        </w:rPr>
        <w:t xml:space="preserve">  </w:t>
      </w:r>
      <w:r>
        <w:rPr>
          <w:rFonts w:ascii="Arial" w:eastAsia="Arial" w:hAnsi="Arial" w:cs="Arial"/>
          <w:color w:val="2A2F36"/>
          <w:sz w:val="18"/>
          <w:szCs w:val="18"/>
        </w:rPr>
        <w:t>Create</w:t>
      </w:r>
      <w:proofErr w:type="gramEnd"/>
      <w:r>
        <w:rPr>
          <w:rFonts w:ascii="Arial" w:eastAsia="Arial" w:hAnsi="Arial" w:cs="Arial"/>
          <w:color w:val="2A2F36"/>
          <w:sz w:val="18"/>
          <w:szCs w:val="18"/>
        </w:rPr>
        <w:t xml:space="preserve"> a tailored policy and procedure set mapped to federal and state requirements, not generic templates</w:t>
      </w:r>
    </w:p>
    <w:p w14:paraId="5CBE7C96" w14:textId="77777777" w:rsidR="00964DBB" w:rsidRDefault="00AC7030">
      <w:pPr>
        <w:pBdr>
          <w:left w:val="single" w:sz="22" w:space="8" w:color="8CB42A"/>
        </w:pBdr>
        <w:spacing w:before="80" w:after="40"/>
        <w:ind w:left="60"/>
      </w:pPr>
      <w:r>
        <w:rPr>
          <w:rFonts w:ascii="Arial" w:eastAsia="Arial" w:hAnsi="Arial" w:cs="Arial"/>
          <w:b/>
          <w:bCs/>
          <w:color w:val="6E8A1E"/>
          <w:sz w:val="17"/>
          <w:szCs w:val="17"/>
        </w:rPr>
        <w:t>End of Phase 2: your Operations Playbook. A working set of systems, workflows, and policies that run the day to day.</w:t>
      </w:r>
    </w:p>
    <w:p w14:paraId="12BE6B59" w14:textId="77777777" w:rsidR="00964DBB" w:rsidRDefault="00AC7030">
      <w:pPr>
        <w:keepNext/>
        <w:spacing w:before="200" w:after="12"/>
      </w:pPr>
      <w:r>
        <w:rPr>
          <w:rFonts w:ascii="Georgia" w:eastAsia="Georgia" w:hAnsi="Georgia" w:cs="Georgia"/>
          <w:b/>
          <w:bCs/>
          <w:color w:val="0B2E4E"/>
          <w:sz w:val="26"/>
          <w:szCs w:val="26"/>
        </w:rPr>
        <w:t>Phase 3: Go-Live, Optimization, and Scale</w:t>
      </w:r>
    </w:p>
    <w:p w14:paraId="2E28FB8B" w14:textId="77777777" w:rsidR="00964DBB" w:rsidRDefault="00AC7030">
      <w:pPr>
        <w:keepNext/>
        <w:pBdr>
          <w:bottom w:val="single" w:sz="8" w:space="6" w:color="0B2E4E"/>
        </w:pBdr>
        <w:spacing w:after="120"/>
      </w:pPr>
      <w:r>
        <w:rPr>
          <w:rFonts w:ascii="Arial" w:eastAsia="Arial" w:hAnsi="Arial" w:cs="Arial"/>
          <w:b/>
          <w:bCs/>
          <w:color w:val="0B2E4E"/>
          <w:sz w:val="17"/>
          <w:szCs w:val="17"/>
        </w:rPr>
        <w:t xml:space="preserve">Days 61 to 90   </w:t>
      </w:r>
      <w:r>
        <w:rPr>
          <w:rFonts w:ascii="Arial" w:eastAsia="Arial" w:hAnsi="Arial" w:cs="Arial"/>
          <w:color w:val="5B6670"/>
          <w:sz w:val="17"/>
          <w:szCs w:val="17"/>
        </w:rPr>
        <w:t>Get the practice off the ground, keep it stable, and build a clear path to grow.</w:t>
      </w:r>
    </w:p>
    <w:p w14:paraId="7546BE89" w14:textId="77777777" w:rsidR="00964DBB" w:rsidRDefault="00AC7030">
      <w:pPr>
        <w:keepNext/>
        <w:spacing w:before="90" w:after="40"/>
      </w:pPr>
      <w:r>
        <w:rPr>
          <w:rFonts w:ascii="Arial" w:eastAsia="Arial" w:hAnsi="Arial" w:cs="Arial"/>
          <w:b/>
          <w:bCs/>
          <w:color w:val="0B2E4E"/>
          <w:sz w:val="19"/>
          <w:szCs w:val="19"/>
        </w:rPr>
        <w:t>Go-live</w:t>
      </w:r>
    </w:p>
    <w:p w14:paraId="36089311" w14:textId="77777777" w:rsidR="00964DBB" w:rsidRDefault="00AC7030">
      <w:pPr>
        <w:spacing w:after="30"/>
        <w:ind w:left="340" w:hanging="230"/>
      </w:pPr>
      <w:proofErr w:type="gramStart"/>
      <w:r>
        <w:rPr>
          <w:rFonts w:ascii="Segoe UI Symbol" w:eastAsia="Segoe UI Symbol" w:hAnsi="Segoe UI Symbol" w:cs="Segoe UI Symbol"/>
          <w:color w:val="0B2E4E"/>
          <w:sz w:val="23"/>
          <w:szCs w:val="23"/>
        </w:rPr>
        <w:t>☐</w:t>
      </w:r>
      <w:r>
        <w:rPr>
          <w:rFonts w:ascii="Segoe UI Symbol" w:eastAsia="Segoe UI Symbol" w:hAnsi="Segoe UI Symbol" w:cs="Segoe UI Symbol"/>
          <w:color w:val="0B2E4E"/>
          <w:sz w:val="23"/>
          <w:szCs w:val="23"/>
        </w:rPr>
        <w:t xml:space="preserve">  </w:t>
      </w:r>
      <w:r>
        <w:rPr>
          <w:rFonts w:ascii="Arial" w:eastAsia="Arial" w:hAnsi="Arial" w:cs="Arial"/>
          <w:color w:val="2A2F36"/>
          <w:sz w:val="18"/>
          <w:szCs w:val="18"/>
        </w:rPr>
        <w:t>Run</w:t>
      </w:r>
      <w:proofErr w:type="gramEnd"/>
      <w:r>
        <w:rPr>
          <w:rFonts w:ascii="Arial" w:eastAsia="Arial" w:hAnsi="Arial" w:cs="Arial"/>
          <w:color w:val="2A2F36"/>
          <w:sz w:val="18"/>
          <w:szCs w:val="18"/>
        </w:rPr>
        <w:t xml:space="preserve"> a go-live readiness check and execute your launch</w:t>
      </w:r>
    </w:p>
    <w:p w14:paraId="01FED26A" w14:textId="77777777" w:rsidR="00964DBB" w:rsidRDefault="00AC7030">
      <w:pPr>
        <w:spacing w:after="30"/>
        <w:ind w:left="340" w:hanging="230"/>
      </w:pPr>
      <w:proofErr w:type="gramStart"/>
      <w:r>
        <w:rPr>
          <w:rFonts w:ascii="Segoe UI Symbol" w:eastAsia="Segoe UI Symbol" w:hAnsi="Segoe UI Symbol" w:cs="Segoe UI Symbol"/>
          <w:color w:val="0B2E4E"/>
          <w:sz w:val="23"/>
          <w:szCs w:val="23"/>
        </w:rPr>
        <w:t>☐</w:t>
      </w:r>
      <w:r>
        <w:rPr>
          <w:rFonts w:ascii="Segoe UI Symbol" w:eastAsia="Segoe UI Symbol" w:hAnsi="Segoe UI Symbol" w:cs="Segoe UI Symbol"/>
          <w:color w:val="0B2E4E"/>
          <w:sz w:val="23"/>
          <w:szCs w:val="23"/>
        </w:rPr>
        <w:t xml:space="preserve">  </w:t>
      </w:r>
      <w:r>
        <w:rPr>
          <w:rFonts w:ascii="Arial" w:eastAsia="Arial" w:hAnsi="Arial" w:cs="Arial"/>
          <w:color w:val="2A2F36"/>
          <w:sz w:val="18"/>
          <w:szCs w:val="18"/>
        </w:rPr>
        <w:t>Plan</w:t>
      </w:r>
      <w:proofErr w:type="gramEnd"/>
      <w:r>
        <w:rPr>
          <w:rFonts w:ascii="Arial" w:eastAsia="Arial" w:hAnsi="Arial" w:cs="Arial"/>
          <w:color w:val="2A2F36"/>
          <w:sz w:val="18"/>
          <w:szCs w:val="18"/>
        </w:rPr>
        <w:t xml:space="preserve"> your patient panel transition if you are leaving an employer</w:t>
      </w:r>
    </w:p>
    <w:p w14:paraId="27DADAD1" w14:textId="77777777" w:rsidR="00964DBB" w:rsidRDefault="00AC7030">
      <w:pPr>
        <w:keepNext/>
        <w:spacing w:before="90" w:after="40"/>
      </w:pPr>
      <w:r>
        <w:rPr>
          <w:rFonts w:ascii="Arial" w:eastAsia="Arial" w:hAnsi="Arial" w:cs="Arial"/>
          <w:b/>
          <w:bCs/>
          <w:color w:val="0B2E4E"/>
          <w:sz w:val="19"/>
          <w:szCs w:val="19"/>
        </w:rPr>
        <w:t>Performance</w:t>
      </w:r>
    </w:p>
    <w:p w14:paraId="12094126" w14:textId="77777777" w:rsidR="00964DBB" w:rsidRDefault="00AC7030">
      <w:pPr>
        <w:spacing w:after="30"/>
        <w:ind w:left="340" w:hanging="230"/>
      </w:pPr>
      <w:proofErr w:type="gramStart"/>
      <w:r>
        <w:rPr>
          <w:rFonts w:ascii="Segoe UI Symbol" w:eastAsia="Segoe UI Symbol" w:hAnsi="Segoe UI Symbol" w:cs="Segoe UI Symbol"/>
          <w:color w:val="0B2E4E"/>
          <w:sz w:val="23"/>
          <w:szCs w:val="23"/>
        </w:rPr>
        <w:t>☐</w:t>
      </w:r>
      <w:r>
        <w:rPr>
          <w:rFonts w:ascii="Segoe UI Symbol" w:eastAsia="Segoe UI Symbol" w:hAnsi="Segoe UI Symbol" w:cs="Segoe UI Symbol"/>
          <w:color w:val="0B2E4E"/>
          <w:sz w:val="23"/>
          <w:szCs w:val="23"/>
        </w:rPr>
        <w:t xml:space="preserve">  </w:t>
      </w:r>
      <w:r>
        <w:rPr>
          <w:rFonts w:ascii="Arial" w:eastAsia="Arial" w:hAnsi="Arial" w:cs="Arial"/>
          <w:color w:val="2A2F36"/>
          <w:sz w:val="18"/>
          <w:szCs w:val="18"/>
        </w:rPr>
        <w:t>Monitor</w:t>
      </w:r>
      <w:proofErr w:type="gramEnd"/>
      <w:r>
        <w:rPr>
          <w:rFonts w:ascii="Arial" w:eastAsia="Arial" w:hAnsi="Arial" w:cs="Arial"/>
          <w:color w:val="2A2F36"/>
          <w:sz w:val="18"/>
          <w:szCs w:val="18"/>
        </w:rPr>
        <w:t xml:space="preserve"> first-month revenue</w:t>
      </w:r>
    </w:p>
    <w:p w14:paraId="08150249" w14:textId="77777777" w:rsidR="00964DBB" w:rsidRDefault="00AC7030">
      <w:pPr>
        <w:spacing w:after="30"/>
        <w:ind w:left="340" w:hanging="230"/>
      </w:pPr>
      <w:proofErr w:type="gramStart"/>
      <w:r>
        <w:rPr>
          <w:rFonts w:ascii="Segoe UI Symbol" w:eastAsia="Segoe UI Symbol" w:hAnsi="Segoe UI Symbol" w:cs="Segoe UI Symbol"/>
          <w:color w:val="0B2E4E"/>
          <w:sz w:val="23"/>
          <w:szCs w:val="23"/>
        </w:rPr>
        <w:t>☐</w:t>
      </w:r>
      <w:r>
        <w:rPr>
          <w:rFonts w:ascii="Segoe UI Symbol" w:eastAsia="Segoe UI Symbol" w:hAnsi="Segoe UI Symbol" w:cs="Segoe UI Symbol"/>
          <w:color w:val="0B2E4E"/>
          <w:sz w:val="23"/>
          <w:szCs w:val="23"/>
        </w:rPr>
        <w:t xml:space="preserve">  </w:t>
      </w:r>
      <w:r>
        <w:rPr>
          <w:rFonts w:ascii="Arial" w:eastAsia="Arial" w:hAnsi="Arial" w:cs="Arial"/>
          <w:color w:val="2A2F36"/>
          <w:sz w:val="18"/>
          <w:szCs w:val="18"/>
        </w:rPr>
        <w:t>Set</w:t>
      </w:r>
      <w:proofErr w:type="gramEnd"/>
      <w:r>
        <w:rPr>
          <w:rFonts w:ascii="Arial" w:eastAsia="Arial" w:hAnsi="Arial" w:cs="Arial"/>
          <w:color w:val="2A2F36"/>
          <w:sz w:val="18"/>
          <w:szCs w:val="18"/>
        </w:rPr>
        <w:t xml:space="preserve"> up a KPI dashboard (panel growth, visit volume, collections, denial rate)</w:t>
      </w:r>
    </w:p>
    <w:p w14:paraId="290555D4" w14:textId="77777777" w:rsidR="00964DBB" w:rsidRDefault="00AC7030">
      <w:pPr>
        <w:keepNext/>
        <w:spacing w:before="90" w:after="40"/>
      </w:pPr>
      <w:r>
        <w:rPr>
          <w:rFonts w:ascii="Arial" w:eastAsia="Arial" w:hAnsi="Arial" w:cs="Arial"/>
          <w:b/>
          <w:bCs/>
          <w:color w:val="0B2E4E"/>
          <w:sz w:val="19"/>
          <w:szCs w:val="19"/>
        </w:rPr>
        <w:t>Growth</w:t>
      </w:r>
    </w:p>
    <w:p w14:paraId="4CBA7F68" w14:textId="77777777" w:rsidR="00964DBB" w:rsidRDefault="00AC7030">
      <w:pPr>
        <w:spacing w:after="30"/>
        <w:ind w:left="340" w:hanging="230"/>
      </w:pPr>
      <w:proofErr w:type="gramStart"/>
      <w:r>
        <w:rPr>
          <w:rFonts w:ascii="Segoe UI Symbol" w:eastAsia="Segoe UI Symbol" w:hAnsi="Segoe UI Symbol" w:cs="Segoe UI Symbol"/>
          <w:color w:val="0B2E4E"/>
          <w:sz w:val="23"/>
          <w:szCs w:val="23"/>
        </w:rPr>
        <w:t>☐</w:t>
      </w:r>
      <w:r>
        <w:rPr>
          <w:rFonts w:ascii="Segoe UI Symbol" w:eastAsia="Segoe UI Symbol" w:hAnsi="Segoe UI Symbol" w:cs="Segoe UI Symbol"/>
          <w:color w:val="0B2E4E"/>
          <w:sz w:val="23"/>
          <w:szCs w:val="23"/>
        </w:rPr>
        <w:t xml:space="preserve">  </w:t>
      </w:r>
      <w:r>
        <w:rPr>
          <w:rFonts w:ascii="Arial" w:eastAsia="Arial" w:hAnsi="Arial" w:cs="Arial"/>
          <w:color w:val="2A2F36"/>
          <w:sz w:val="18"/>
          <w:szCs w:val="18"/>
        </w:rPr>
        <w:t>Put</w:t>
      </w:r>
      <w:proofErr w:type="gramEnd"/>
      <w:r>
        <w:rPr>
          <w:rFonts w:ascii="Arial" w:eastAsia="Arial" w:hAnsi="Arial" w:cs="Arial"/>
          <w:color w:val="2A2F36"/>
          <w:sz w:val="18"/>
          <w:szCs w:val="18"/>
        </w:rPr>
        <w:t xml:space="preserve"> a marketing and referral activation plan in motion</w:t>
      </w:r>
    </w:p>
    <w:p w14:paraId="29B68702" w14:textId="77777777" w:rsidR="00964DBB" w:rsidRDefault="00AC7030">
      <w:pPr>
        <w:spacing w:after="30"/>
        <w:ind w:left="340" w:hanging="230"/>
      </w:pPr>
      <w:proofErr w:type="gramStart"/>
      <w:r>
        <w:rPr>
          <w:rFonts w:ascii="Segoe UI Symbol" w:eastAsia="Segoe UI Symbol" w:hAnsi="Segoe UI Symbol" w:cs="Segoe UI Symbol"/>
          <w:color w:val="0B2E4E"/>
          <w:sz w:val="23"/>
          <w:szCs w:val="23"/>
        </w:rPr>
        <w:t>☐</w:t>
      </w:r>
      <w:r>
        <w:rPr>
          <w:rFonts w:ascii="Segoe UI Symbol" w:eastAsia="Segoe UI Symbol" w:hAnsi="Segoe UI Symbol" w:cs="Segoe UI Symbol"/>
          <w:color w:val="0B2E4E"/>
          <w:sz w:val="23"/>
          <w:szCs w:val="23"/>
        </w:rPr>
        <w:t xml:space="preserve">  </w:t>
      </w:r>
      <w:r>
        <w:rPr>
          <w:rFonts w:ascii="Arial" w:eastAsia="Arial" w:hAnsi="Arial" w:cs="Arial"/>
          <w:color w:val="2A2F36"/>
          <w:sz w:val="18"/>
          <w:szCs w:val="18"/>
        </w:rPr>
        <w:t>Plan</w:t>
      </w:r>
      <w:proofErr w:type="gramEnd"/>
      <w:r>
        <w:rPr>
          <w:rFonts w:ascii="Arial" w:eastAsia="Arial" w:hAnsi="Arial" w:cs="Arial"/>
          <w:color w:val="2A2F36"/>
          <w:sz w:val="18"/>
          <w:szCs w:val="18"/>
        </w:rPr>
        <w:t xml:space="preserve"> your capacity and a ninety-day post-launch optimization plan</w:t>
      </w:r>
    </w:p>
    <w:p w14:paraId="5A66237A" w14:textId="77777777" w:rsidR="00964DBB" w:rsidRDefault="00AC7030">
      <w:pPr>
        <w:spacing w:after="30"/>
        <w:ind w:left="340" w:hanging="230"/>
      </w:pPr>
      <w:proofErr w:type="gramStart"/>
      <w:r>
        <w:rPr>
          <w:rFonts w:ascii="Segoe UI Symbol" w:eastAsia="Segoe UI Symbol" w:hAnsi="Segoe UI Symbol" w:cs="Segoe UI Symbol"/>
          <w:color w:val="0B2E4E"/>
          <w:sz w:val="23"/>
          <w:szCs w:val="23"/>
        </w:rPr>
        <w:t>☐</w:t>
      </w:r>
      <w:r>
        <w:rPr>
          <w:rFonts w:ascii="Segoe UI Symbol" w:eastAsia="Segoe UI Symbol" w:hAnsi="Segoe UI Symbol" w:cs="Segoe UI Symbol"/>
          <w:color w:val="0B2E4E"/>
          <w:sz w:val="23"/>
          <w:szCs w:val="23"/>
        </w:rPr>
        <w:t xml:space="preserve">  </w:t>
      </w:r>
      <w:r>
        <w:rPr>
          <w:rFonts w:ascii="Arial" w:eastAsia="Arial" w:hAnsi="Arial" w:cs="Arial"/>
          <w:color w:val="2A2F36"/>
          <w:sz w:val="18"/>
          <w:szCs w:val="18"/>
        </w:rPr>
        <w:t>Map</w:t>
      </w:r>
      <w:proofErr w:type="gramEnd"/>
      <w:r>
        <w:rPr>
          <w:rFonts w:ascii="Arial" w:eastAsia="Arial" w:hAnsi="Arial" w:cs="Arial"/>
          <w:color w:val="2A2F36"/>
          <w:sz w:val="18"/>
          <w:szCs w:val="18"/>
        </w:rPr>
        <w:t xml:space="preserve"> a scale roadmap if you are adding providers or locations</w:t>
      </w:r>
    </w:p>
    <w:p w14:paraId="1B6BF1AA" w14:textId="77777777" w:rsidR="00964DBB" w:rsidRDefault="00AC7030">
      <w:pPr>
        <w:pBdr>
          <w:left w:val="single" w:sz="22" w:space="8" w:color="8CB42A"/>
        </w:pBdr>
        <w:spacing w:before="80" w:after="40"/>
        <w:ind w:left="60"/>
      </w:pPr>
      <w:r>
        <w:rPr>
          <w:rFonts w:ascii="Arial" w:eastAsia="Arial" w:hAnsi="Arial" w:cs="Arial"/>
          <w:b/>
          <w:bCs/>
          <w:color w:val="6E8A1E"/>
          <w:sz w:val="17"/>
          <w:szCs w:val="17"/>
        </w:rPr>
        <w:t>End of Phase 3: your Launch Scorecard and Growth Roadmap. A live dashboard plus a written plan for the next ninety days and beyond.</w:t>
      </w:r>
    </w:p>
    <w:p w14:paraId="1722C148" w14:textId="77777777" w:rsidR="00964DBB" w:rsidRDefault="00AC7030">
      <w:pPr>
        <w:spacing w:before="180" w:after="40"/>
      </w:pPr>
      <w:r>
        <w:rPr>
          <w:rFonts w:ascii="Arial" w:eastAsia="Arial" w:hAnsi="Arial" w:cs="Arial"/>
          <w:b/>
          <w:bCs/>
          <w:color w:val="0B2E4E"/>
          <w:sz w:val="18"/>
          <w:szCs w:val="18"/>
        </w:rPr>
        <w:t xml:space="preserve">About credentialing.  </w:t>
      </w:r>
      <w:r>
        <w:rPr>
          <w:rFonts w:ascii="Arial" w:eastAsia="Arial" w:hAnsi="Arial" w:cs="Arial"/>
          <w:color w:val="2A2F36"/>
          <w:sz w:val="18"/>
          <w:szCs w:val="18"/>
        </w:rPr>
        <w:t>Insurance credentialing runs on a separate track set by the payers, and it commonly takes 90 to 120 days or longer. Many practices open on a private-pay basis or with early-approved payers before it is finished, so plan it in parallel from day one.</w:t>
      </w:r>
    </w:p>
    <w:p w14:paraId="2B5D9550" w14:textId="77777777" w:rsidR="00964DBB" w:rsidRDefault="00964DBB">
      <w:pPr>
        <w:spacing w:before="1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964DBB" w14:paraId="72273250"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0B2E4E"/>
            <w:tcMar>
              <w:top w:w="220" w:type="dxa"/>
              <w:left w:w="260" w:type="dxa"/>
              <w:bottom w:w="220" w:type="dxa"/>
              <w:right w:w="260" w:type="dxa"/>
            </w:tcMar>
          </w:tcPr>
          <w:p w14:paraId="4035F3B5" w14:textId="77777777" w:rsidR="00964DBB" w:rsidRDefault="00AC7030">
            <w:pPr>
              <w:spacing w:after="70"/>
            </w:pPr>
            <w:r>
              <w:rPr>
                <w:rFonts w:ascii="Georgia" w:eastAsia="Georgia" w:hAnsi="Georgia" w:cs="Georgia"/>
                <w:b/>
                <w:bCs/>
                <w:color w:val="FFFFFF"/>
                <w:sz w:val="27"/>
                <w:szCs w:val="27"/>
              </w:rPr>
              <w:t>Feeling the weight of this list?</w:t>
            </w:r>
          </w:p>
          <w:p w14:paraId="70D331D4" w14:textId="77777777" w:rsidR="00964DBB" w:rsidRDefault="00AC7030">
            <w:pPr>
              <w:spacing w:after="180"/>
            </w:pPr>
            <w:r>
              <w:rPr>
                <w:rFonts w:ascii="Arial" w:eastAsia="Arial" w:hAnsi="Arial" w:cs="Arial"/>
                <w:color w:val="DCE6EE"/>
                <w:sz w:val="18"/>
                <w:szCs w:val="18"/>
              </w:rPr>
              <w:t>That is exactly what Practice Launch 90 is built for. We handle the legal, financial, operational, and technical side of your practice through a structured 90-day plan, so you can get back to what you do best: caring for patients.</w:t>
            </w:r>
          </w:p>
          <w:tbl>
            <w:tblPr>
              <w:tblW w:w="87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0"/>
              <w:gridCol w:w="5460"/>
            </w:tblGrid>
            <w:tr w:rsidR="00964DBB" w14:paraId="7C2A6A4C" w14:textId="77777777">
              <w:tblPrEx>
                <w:tblCellMar>
                  <w:top w:w="0" w:type="dxa"/>
                  <w:bottom w:w="0" w:type="dxa"/>
                </w:tblCellMar>
              </w:tblPrEx>
              <w:tc>
                <w:tcPr>
                  <w:tcW w:w="3300" w:type="dxa"/>
                  <w:tcBorders>
                    <w:top w:val="none" w:sz="0" w:space="0" w:color="FFFFFF"/>
                    <w:left w:val="none" w:sz="0" w:space="0" w:color="FFFFFF"/>
                    <w:bottom w:val="none" w:sz="0" w:space="0" w:color="FFFFFF"/>
                    <w:right w:val="none" w:sz="0" w:space="0" w:color="FFFFFF"/>
                  </w:tcBorders>
                  <w:vAlign w:val="center"/>
                </w:tcPr>
                <w:tbl>
                  <w:tblPr>
                    <w:tblW w:w="29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900"/>
                  </w:tblGrid>
                  <w:tr w:rsidR="00964DBB" w14:paraId="2F9AFFD5"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8CB42A"/>
                        <w:tcMar>
                          <w:top w:w="90" w:type="dxa"/>
                          <w:left w:w="120" w:type="dxa"/>
                          <w:bottom w:w="90" w:type="dxa"/>
                          <w:right w:w="120" w:type="dxa"/>
                        </w:tcMar>
                      </w:tcPr>
                      <w:p w14:paraId="712B925D" w14:textId="77777777" w:rsidR="00964DBB" w:rsidRDefault="00AC7030">
                        <w:pPr>
                          <w:jc w:val="center"/>
                        </w:pPr>
                        <w:r>
                          <w:rPr>
                            <w:rFonts w:ascii="Arial" w:eastAsia="Arial" w:hAnsi="Arial" w:cs="Arial"/>
                            <w:b/>
                            <w:bCs/>
                            <w:color w:val="0B2E4E"/>
                            <w:sz w:val="19"/>
                            <w:szCs w:val="19"/>
                          </w:rPr>
                          <w:lastRenderedPageBreak/>
                          <w:t>Book a Strategy Session</w:t>
                        </w:r>
                      </w:p>
                    </w:tc>
                  </w:tr>
                </w:tbl>
                <w:p w14:paraId="68556691" w14:textId="77777777" w:rsidR="00964DBB" w:rsidRDefault="00964DBB"/>
              </w:tc>
              <w:tc>
                <w:tcPr>
                  <w:tcW w:w="5460" w:type="dxa"/>
                  <w:tcBorders>
                    <w:top w:val="none" w:sz="0" w:space="0" w:color="FFFFFF"/>
                    <w:left w:val="none" w:sz="0" w:space="0" w:color="FFFFFF"/>
                    <w:bottom w:val="none" w:sz="0" w:space="0" w:color="FFFFFF"/>
                    <w:right w:val="none" w:sz="0" w:space="0" w:color="FFFFFF"/>
                  </w:tcBorders>
                  <w:vAlign w:val="center"/>
                </w:tcPr>
                <w:p w14:paraId="2F4CC0DD" w14:textId="77777777" w:rsidR="00964DBB" w:rsidRDefault="00AC7030">
                  <w:pPr>
                    <w:jc w:val="right"/>
                  </w:pPr>
                  <w:r>
                    <w:rPr>
                      <w:rFonts w:ascii="Arial" w:eastAsia="Arial" w:hAnsi="Arial" w:cs="Arial"/>
                      <w:b/>
                      <w:bCs/>
                      <w:color w:val="FFFFFF"/>
                      <w:sz w:val="17"/>
                      <w:szCs w:val="17"/>
                    </w:rPr>
                    <w:t>practicelaunch90.com</w:t>
                  </w:r>
                </w:p>
                <w:p w14:paraId="2E8F9F40" w14:textId="77777777" w:rsidR="00964DBB" w:rsidRDefault="00AC7030">
                  <w:pPr>
                    <w:jc w:val="right"/>
                  </w:pPr>
                  <w:r>
                    <w:rPr>
                      <w:rFonts w:ascii="Arial" w:eastAsia="Arial" w:hAnsi="Arial" w:cs="Arial"/>
                      <w:color w:val="C9D6E0"/>
                      <w:sz w:val="16"/>
                      <w:szCs w:val="16"/>
                    </w:rPr>
                    <w:t>info@vermonthealthcareconsulting.com</w:t>
                  </w:r>
                </w:p>
                <w:p w14:paraId="56DD203B" w14:textId="77777777" w:rsidR="00964DBB" w:rsidRDefault="00AC7030">
                  <w:pPr>
                    <w:jc w:val="right"/>
                  </w:pPr>
                  <w:r>
                    <w:rPr>
                      <w:rFonts w:ascii="Arial" w:eastAsia="Arial" w:hAnsi="Arial" w:cs="Arial"/>
                      <w:color w:val="C9D6E0"/>
                      <w:sz w:val="16"/>
                      <w:szCs w:val="16"/>
                    </w:rPr>
                    <w:t>802-448-0760</w:t>
                  </w:r>
                </w:p>
              </w:tc>
            </w:tr>
          </w:tbl>
          <w:p w14:paraId="023CD0E9" w14:textId="77777777" w:rsidR="00964DBB" w:rsidRDefault="00964DBB"/>
        </w:tc>
      </w:tr>
    </w:tbl>
    <w:p w14:paraId="64C225B1" w14:textId="77777777" w:rsidR="00AC7030" w:rsidRDefault="00AC7030"/>
    <w:sectPr w:rsidR="00AC7030">
      <w:footerReference w:type="default" r:id="rId8"/>
      <w:pgSz w:w="12240" w:h="15840"/>
      <w:pgMar w:top="92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D4F13" w14:textId="77777777" w:rsidR="00AC7030" w:rsidRDefault="00AC7030">
      <w:r>
        <w:separator/>
      </w:r>
    </w:p>
  </w:endnote>
  <w:endnote w:type="continuationSeparator" w:id="0">
    <w:p w14:paraId="611F1080" w14:textId="77777777" w:rsidR="00AC7030" w:rsidRDefault="00AC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B6AE" w14:textId="77777777" w:rsidR="00964DBB" w:rsidRDefault="00AC7030">
    <w:pPr>
      <w:pBdr>
        <w:top w:val="single" w:sz="4" w:space="6" w:color="D9E0E6"/>
      </w:pBdr>
      <w:tabs>
        <w:tab w:val="right" w:pos="9360"/>
      </w:tabs>
    </w:pPr>
    <w:r>
      <w:rPr>
        <w:rFonts w:ascii="Georgia" w:eastAsia="Georgia" w:hAnsi="Georgia" w:cs="Georgia"/>
        <w:color w:val="5B6670"/>
        <w:sz w:val="15"/>
        <w:szCs w:val="15"/>
      </w:rPr>
      <w:t xml:space="preserve">Practice Launch </w:t>
    </w:r>
    <w:proofErr w:type="gramStart"/>
    <w:r>
      <w:rPr>
        <w:rFonts w:ascii="Georgia" w:eastAsia="Georgia" w:hAnsi="Georgia" w:cs="Georgia"/>
        <w:color w:val="5B6670"/>
        <w:sz w:val="15"/>
        <w:szCs w:val="15"/>
      </w:rPr>
      <w:t>90  |</w:t>
    </w:r>
    <w:proofErr w:type="gramEnd"/>
    <w:r>
      <w:rPr>
        <w:rFonts w:ascii="Georgia" w:eastAsia="Georgia" w:hAnsi="Georgia" w:cs="Georgia"/>
        <w:color w:val="5B6670"/>
        <w:sz w:val="15"/>
        <w:szCs w:val="15"/>
      </w:rPr>
      <w:t xml:space="preserve">  practicelaunch90.com</w:t>
    </w:r>
    <w:r>
      <w:rPr>
        <w:sz w:val="15"/>
        <w:szCs w:val="15"/>
      </w:rPr>
      <w:tab/>
    </w:r>
    <w:r>
      <w:rPr>
        <w:rFonts w:ascii="Georgia" w:eastAsia="Georgia" w:hAnsi="Georgia" w:cs="Georgia"/>
        <w:color w:val="5B6670"/>
        <w:sz w:val="15"/>
        <w:szCs w:val="15"/>
      </w:rPr>
      <w:t xml:space="preserve">Page </w:t>
    </w:r>
    <w:r>
      <w:rPr>
        <w:rFonts w:ascii="Georgia" w:eastAsia="Georgia" w:hAnsi="Georgia" w:cs="Georgia"/>
        <w:color w:val="5B6670"/>
        <w:sz w:val="15"/>
        <w:szCs w:val="15"/>
      </w:rPr>
      <w:fldChar w:fldCharType="begin"/>
    </w:r>
    <w:r>
      <w:rPr>
        <w:rFonts w:ascii="Georgia" w:eastAsia="Georgia" w:hAnsi="Georgia" w:cs="Georgia"/>
        <w:color w:val="5B6670"/>
        <w:sz w:val="15"/>
        <w:szCs w:val="15"/>
      </w:rPr>
      <w:instrText>PAGE</w:instrText>
    </w:r>
    <w:r>
      <w:rPr>
        <w:rFonts w:ascii="Georgia" w:eastAsia="Georgia" w:hAnsi="Georgia" w:cs="Georgia"/>
        <w:color w:val="5B6670"/>
        <w:sz w:val="15"/>
        <w:szCs w:val="15"/>
      </w:rPr>
      <w:fldChar w:fldCharType="separate"/>
    </w:r>
    <w:r w:rsidR="00E6617B">
      <w:rPr>
        <w:rFonts w:ascii="Georgia" w:eastAsia="Georgia" w:hAnsi="Georgia" w:cs="Georgia"/>
        <w:noProof/>
        <w:color w:val="5B6670"/>
        <w:sz w:val="15"/>
        <w:szCs w:val="15"/>
      </w:rPr>
      <w:t>1</w:t>
    </w:r>
    <w:r>
      <w:rPr>
        <w:rFonts w:ascii="Georgia" w:eastAsia="Georgia" w:hAnsi="Georgia" w:cs="Georgia"/>
        <w:color w:val="5B6670"/>
        <w:sz w:val="15"/>
        <w:szCs w:val="15"/>
      </w:rPr>
      <w:fldChar w:fldCharType="end"/>
    </w:r>
    <w:r>
      <w:rPr>
        <w:rFonts w:ascii="Georgia" w:eastAsia="Georgia" w:hAnsi="Georgia" w:cs="Georgia"/>
        <w:color w:val="5B6670"/>
        <w:sz w:val="15"/>
        <w:szCs w:val="15"/>
      </w:rPr>
      <w:t xml:space="preserve"> of </w:t>
    </w:r>
    <w:r>
      <w:rPr>
        <w:rFonts w:ascii="Georgia" w:eastAsia="Georgia" w:hAnsi="Georgia" w:cs="Georgia"/>
        <w:color w:val="5B6670"/>
        <w:sz w:val="15"/>
        <w:szCs w:val="15"/>
      </w:rPr>
      <w:fldChar w:fldCharType="begin"/>
    </w:r>
    <w:r>
      <w:rPr>
        <w:rFonts w:ascii="Georgia" w:eastAsia="Georgia" w:hAnsi="Georgia" w:cs="Georgia"/>
        <w:color w:val="5B6670"/>
        <w:sz w:val="15"/>
        <w:szCs w:val="15"/>
      </w:rPr>
      <w:instrText>NUMPAGES</w:instrText>
    </w:r>
    <w:r>
      <w:rPr>
        <w:rFonts w:ascii="Georgia" w:eastAsia="Georgia" w:hAnsi="Georgia" w:cs="Georgia"/>
        <w:color w:val="5B6670"/>
        <w:sz w:val="15"/>
        <w:szCs w:val="15"/>
      </w:rPr>
      <w:fldChar w:fldCharType="separate"/>
    </w:r>
    <w:r w:rsidR="00E6617B">
      <w:rPr>
        <w:rFonts w:ascii="Georgia" w:eastAsia="Georgia" w:hAnsi="Georgia" w:cs="Georgia"/>
        <w:noProof/>
        <w:color w:val="5B6670"/>
        <w:sz w:val="15"/>
        <w:szCs w:val="15"/>
      </w:rPr>
      <w:t>2</w:t>
    </w:r>
    <w:r>
      <w:rPr>
        <w:rFonts w:ascii="Georgia" w:eastAsia="Georgia" w:hAnsi="Georgia" w:cs="Georgia"/>
        <w:color w:val="5B667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73441" w14:textId="77777777" w:rsidR="00AC7030" w:rsidRDefault="00AC7030">
      <w:r>
        <w:separator/>
      </w:r>
    </w:p>
  </w:footnote>
  <w:footnote w:type="continuationSeparator" w:id="0">
    <w:p w14:paraId="458204F4" w14:textId="77777777" w:rsidR="00AC7030" w:rsidRDefault="00AC7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62B2B"/>
    <w:multiLevelType w:val="hybridMultilevel"/>
    <w:tmpl w:val="E56A8FF6"/>
    <w:lvl w:ilvl="0" w:tplc="5C825430">
      <w:start w:val="1"/>
      <w:numFmt w:val="bullet"/>
      <w:lvlText w:val="●"/>
      <w:lvlJc w:val="left"/>
      <w:pPr>
        <w:ind w:left="720" w:hanging="360"/>
      </w:pPr>
    </w:lvl>
    <w:lvl w:ilvl="1" w:tplc="114E5C40">
      <w:start w:val="1"/>
      <w:numFmt w:val="bullet"/>
      <w:lvlText w:val="○"/>
      <w:lvlJc w:val="left"/>
      <w:pPr>
        <w:ind w:left="1440" w:hanging="360"/>
      </w:pPr>
    </w:lvl>
    <w:lvl w:ilvl="2" w:tplc="73EC9F68">
      <w:start w:val="1"/>
      <w:numFmt w:val="bullet"/>
      <w:lvlText w:val="■"/>
      <w:lvlJc w:val="left"/>
      <w:pPr>
        <w:ind w:left="2160" w:hanging="360"/>
      </w:pPr>
    </w:lvl>
    <w:lvl w:ilvl="3" w:tplc="F156F026">
      <w:start w:val="1"/>
      <w:numFmt w:val="bullet"/>
      <w:lvlText w:val="●"/>
      <w:lvlJc w:val="left"/>
      <w:pPr>
        <w:ind w:left="2880" w:hanging="360"/>
      </w:pPr>
    </w:lvl>
    <w:lvl w:ilvl="4" w:tplc="9B0CC922">
      <w:start w:val="1"/>
      <w:numFmt w:val="bullet"/>
      <w:lvlText w:val="○"/>
      <w:lvlJc w:val="left"/>
      <w:pPr>
        <w:ind w:left="3600" w:hanging="360"/>
      </w:pPr>
    </w:lvl>
    <w:lvl w:ilvl="5" w:tplc="95B4B63A">
      <w:start w:val="1"/>
      <w:numFmt w:val="bullet"/>
      <w:lvlText w:val="■"/>
      <w:lvlJc w:val="left"/>
      <w:pPr>
        <w:ind w:left="4320" w:hanging="360"/>
      </w:pPr>
    </w:lvl>
    <w:lvl w:ilvl="6" w:tplc="78EEB998">
      <w:start w:val="1"/>
      <w:numFmt w:val="bullet"/>
      <w:lvlText w:val="●"/>
      <w:lvlJc w:val="left"/>
      <w:pPr>
        <w:ind w:left="5040" w:hanging="360"/>
      </w:pPr>
    </w:lvl>
    <w:lvl w:ilvl="7" w:tplc="A1BAFFBA">
      <w:start w:val="1"/>
      <w:numFmt w:val="bullet"/>
      <w:lvlText w:val="●"/>
      <w:lvlJc w:val="left"/>
      <w:pPr>
        <w:ind w:left="5760" w:hanging="360"/>
      </w:pPr>
    </w:lvl>
    <w:lvl w:ilvl="8" w:tplc="32C06E94">
      <w:start w:val="1"/>
      <w:numFmt w:val="bullet"/>
      <w:lvlText w:val="●"/>
      <w:lvlJc w:val="left"/>
      <w:pPr>
        <w:ind w:left="6480" w:hanging="360"/>
      </w:pPr>
    </w:lvl>
  </w:abstractNum>
  <w:num w:numId="1" w16cid:durableId="1358831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DBB"/>
    <w:rsid w:val="00964DBB"/>
    <w:rsid w:val="00A92103"/>
    <w:rsid w:val="00AC7030"/>
    <w:rsid w:val="00E66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910B"/>
  <w15:docId w15:val="{09E8EC03-6950-45AE-991D-A4DA33DB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Practice Preparation Checklist</dc:title>
  <dc:creator>Vermont Healthcare Consulting, LLC</dc:creator>
  <cp:lastModifiedBy>Jennifer Mayhew</cp:lastModifiedBy>
  <cp:revision>2</cp:revision>
  <dcterms:created xsi:type="dcterms:W3CDTF">2026-07-06T18:46:00Z</dcterms:created>
  <dcterms:modified xsi:type="dcterms:W3CDTF">2026-07-06T18:46:00Z</dcterms:modified>
</cp:coreProperties>
</file>